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1"/>
        <w:gridCol w:w="1133"/>
        <w:gridCol w:w="841"/>
        <w:gridCol w:w="1428"/>
        <w:gridCol w:w="1265"/>
        <w:gridCol w:w="1136"/>
        <w:gridCol w:w="1004"/>
        <w:gridCol w:w="1419"/>
        <w:gridCol w:w="1134"/>
        <w:gridCol w:w="1563"/>
        <w:gridCol w:w="1563"/>
        <w:gridCol w:w="1687"/>
        <w:gridCol w:w="1149"/>
      </w:tblGrid>
      <w:tr w:rsidR="00FB3D8C" w:rsidTr="00C12889">
        <w:trPr>
          <w:trHeight w:val="649"/>
        </w:trPr>
        <w:tc>
          <w:tcPr>
            <w:tcW w:w="1985" w:type="dxa"/>
            <w:vMerge w:val="restart"/>
            <w:shd w:val="clear" w:color="auto" w:fill="FFFFFF" w:themeFill="background1"/>
          </w:tcPr>
          <w:p w:rsidR="00FB3D8C" w:rsidRDefault="00FB3D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152400</wp:posOffset>
                  </wp:positionV>
                  <wp:extent cx="931683" cy="571500"/>
                  <wp:effectExtent l="0" t="0" r="1905" b="0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43" w:type="dxa"/>
            <w:gridSpan w:val="13"/>
            <w:shd w:val="clear" w:color="auto" w:fill="FFFFFF" w:themeFill="background1"/>
          </w:tcPr>
          <w:p w:rsidR="00FB3D8C" w:rsidRDefault="00FB3D8C">
            <w:pPr>
              <w:pStyle w:val="TableParagraph"/>
              <w:spacing w:before="94" w:line="244" w:lineRule="auto"/>
              <w:ind w:left="132" w:right="242" w:firstLine="2"/>
              <w:jc w:val="center"/>
              <w:rPr>
                <w:rFonts w:ascii="Arial"/>
                <w:b/>
                <w:spacing w:val="-2"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FORMATO</w:t>
            </w:r>
          </w:p>
        </w:tc>
      </w:tr>
      <w:tr w:rsidR="00FB3D8C" w:rsidTr="00FA424F">
        <w:trPr>
          <w:trHeight w:val="649"/>
        </w:trPr>
        <w:tc>
          <w:tcPr>
            <w:tcW w:w="1985" w:type="dxa"/>
            <w:vMerge/>
            <w:shd w:val="clear" w:color="auto" w:fill="FFFFFF" w:themeFill="background1"/>
          </w:tcPr>
          <w:p w:rsidR="00FB3D8C" w:rsidRDefault="00FB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3" w:type="dxa"/>
            <w:gridSpan w:val="13"/>
            <w:shd w:val="clear" w:color="auto" w:fill="FFFFFF" w:themeFill="background1"/>
          </w:tcPr>
          <w:p w:rsidR="00FB3D8C" w:rsidRDefault="00FB3D8C">
            <w:pPr>
              <w:pStyle w:val="TableParagraph"/>
              <w:spacing w:before="94" w:line="244" w:lineRule="auto"/>
              <w:ind w:left="132" w:right="242" w:firstLine="2"/>
              <w:jc w:val="center"/>
              <w:rPr>
                <w:rFonts w:ascii="Arial"/>
                <w:b/>
                <w:spacing w:val="-2"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MAPA DE RIESGO PROCESO DE RESPONSABILIDAD FISCAL Y JURISDICCION COACTIVA</w:t>
            </w:r>
          </w:p>
        </w:tc>
      </w:tr>
      <w:tr w:rsidR="00740BD7">
        <w:trPr>
          <w:trHeight w:val="649"/>
        </w:trPr>
        <w:tc>
          <w:tcPr>
            <w:tcW w:w="1985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rPr>
                <w:rFonts w:ascii="Times New Roman"/>
                <w:sz w:val="18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ind w:left="6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PROCESO</w:t>
            </w:r>
          </w:p>
        </w:tc>
        <w:tc>
          <w:tcPr>
            <w:tcW w:w="1421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rPr>
                <w:rFonts w:ascii="Times New Roman"/>
                <w:sz w:val="18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ind w:left="3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RIESGO</w:t>
            </w:r>
          </w:p>
        </w:tc>
        <w:tc>
          <w:tcPr>
            <w:tcW w:w="1974" w:type="dxa"/>
            <w:gridSpan w:val="2"/>
            <w:shd w:val="clear" w:color="auto" w:fill="00AE50"/>
          </w:tcPr>
          <w:p w:rsidR="00740BD7" w:rsidRDefault="00740BD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spacing w:before="1"/>
              <w:ind w:left="3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CALIFICACIÓN</w:t>
            </w:r>
          </w:p>
        </w:tc>
        <w:tc>
          <w:tcPr>
            <w:tcW w:w="1428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rPr>
                <w:rFonts w:ascii="Times New Roman"/>
                <w:sz w:val="18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ind w:left="1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EVALUACIÓN</w:t>
            </w:r>
          </w:p>
        </w:tc>
        <w:tc>
          <w:tcPr>
            <w:tcW w:w="1265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rPr>
                <w:rFonts w:ascii="Times New Roman"/>
                <w:sz w:val="18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CONTROLES</w:t>
            </w:r>
          </w:p>
        </w:tc>
        <w:tc>
          <w:tcPr>
            <w:tcW w:w="2140" w:type="dxa"/>
            <w:gridSpan w:val="2"/>
            <w:shd w:val="clear" w:color="auto" w:fill="00AE50"/>
          </w:tcPr>
          <w:p w:rsidR="00740BD7" w:rsidRDefault="00FB3D8C">
            <w:pPr>
              <w:pStyle w:val="TableParagraph"/>
              <w:spacing w:before="94" w:line="249" w:lineRule="auto"/>
              <w:ind w:left="267" w:right="626" w:firstLine="3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NUEVA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CALIFICACION</w:t>
            </w:r>
          </w:p>
        </w:tc>
        <w:tc>
          <w:tcPr>
            <w:tcW w:w="1419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spacing w:before="1" w:line="302" w:lineRule="auto"/>
              <w:ind w:left="151" w:firstLine="3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NUEVA </w:t>
            </w:r>
            <w:r>
              <w:rPr>
                <w:rFonts w:ascii="Arial"/>
                <w:b/>
                <w:spacing w:val="-8"/>
                <w:sz w:val="18"/>
              </w:rPr>
              <w:t>EVALUACION</w:t>
            </w:r>
          </w:p>
        </w:tc>
        <w:tc>
          <w:tcPr>
            <w:tcW w:w="1134" w:type="dxa"/>
            <w:vMerge w:val="restart"/>
            <w:shd w:val="clear" w:color="auto" w:fill="00AE50"/>
          </w:tcPr>
          <w:p w:rsidR="00740BD7" w:rsidRDefault="00FB3D8C">
            <w:pPr>
              <w:pStyle w:val="TableParagraph"/>
              <w:spacing w:before="181" w:line="295" w:lineRule="auto"/>
              <w:ind w:left="97" w:right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 xml:space="preserve">OPCIONES </w:t>
            </w:r>
            <w:r>
              <w:rPr>
                <w:rFonts w:ascii="Arial"/>
                <w:b/>
                <w:spacing w:val="-6"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MANEJO</w:t>
            </w:r>
          </w:p>
        </w:tc>
        <w:tc>
          <w:tcPr>
            <w:tcW w:w="1563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rPr>
                <w:rFonts w:ascii="Times New Roman"/>
                <w:sz w:val="18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ind w:left="4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ACCIONES</w:t>
            </w:r>
          </w:p>
        </w:tc>
        <w:tc>
          <w:tcPr>
            <w:tcW w:w="1563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rPr>
                <w:rFonts w:ascii="Times New Roman"/>
                <w:sz w:val="18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ind w:left="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RESPONSABLE</w:t>
            </w:r>
          </w:p>
        </w:tc>
        <w:tc>
          <w:tcPr>
            <w:tcW w:w="1687" w:type="dxa"/>
            <w:vMerge w:val="restart"/>
            <w:shd w:val="clear" w:color="auto" w:fill="00AE50"/>
          </w:tcPr>
          <w:p w:rsidR="00740BD7" w:rsidRDefault="00740BD7">
            <w:pPr>
              <w:pStyle w:val="TableParagraph"/>
              <w:rPr>
                <w:rFonts w:ascii="Times New Roman"/>
                <w:sz w:val="18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40BD7" w:rsidRDefault="00FB3D8C">
            <w:pPr>
              <w:pStyle w:val="TableParagraph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INDICADOR</w:t>
            </w:r>
          </w:p>
        </w:tc>
        <w:tc>
          <w:tcPr>
            <w:tcW w:w="1149" w:type="dxa"/>
            <w:vMerge w:val="restart"/>
            <w:shd w:val="clear" w:color="auto" w:fill="00AE50"/>
          </w:tcPr>
          <w:p w:rsidR="00740BD7" w:rsidRDefault="00FB3D8C">
            <w:pPr>
              <w:pStyle w:val="TableParagraph"/>
              <w:spacing w:before="94" w:line="244" w:lineRule="auto"/>
              <w:ind w:left="132" w:right="242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FECHA </w:t>
            </w:r>
            <w:r>
              <w:rPr>
                <w:rFonts w:ascii="Arial"/>
                <w:b/>
                <w:spacing w:val="-6"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w w:val="85"/>
                <w:sz w:val="18"/>
              </w:rPr>
              <w:t xml:space="preserve">CUMPLIM </w:t>
            </w:r>
            <w:r>
              <w:rPr>
                <w:rFonts w:ascii="Arial"/>
                <w:b/>
                <w:spacing w:val="-2"/>
                <w:sz w:val="18"/>
              </w:rPr>
              <w:t>IENTO</w:t>
            </w:r>
          </w:p>
        </w:tc>
      </w:tr>
      <w:tr w:rsidR="00740BD7">
        <w:trPr>
          <w:trHeight w:val="560"/>
        </w:trPr>
        <w:tc>
          <w:tcPr>
            <w:tcW w:w="1985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00AE50"/>
          </w:tcPr>
          <w:p w:rsidR="00740BD7" w:rsidRDefault="00FB3D8C">
            <w:pPr>
              <w:pStyle w:val="TableParagraph"/>
              <w:spacing w:before="176" w:line="182" w:lineRule="exact"/>
              <w:ind w:left="527" w:right="2" w:hanging="3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90"/>
                <w:sz w:val="16"/>
              </w:rPr>
              <w:t>PROBABILID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6"/>
                <w:sz w:val="16"/>
              </w:rPr>
              <w:t>AD</w:t>
            </w:r>
          </w:p>
        </w:tc>
        <w:tc>
          <w:tcPr>
            <w:tcW w:w="841" w:type="dxa"/>
            <w:shd w:val="clear" w:color="auto" w:fill="00AE50"/>
          </w:tcPr>
          <w:p w:rsidR="00740BD7" w:rsidRDefault="00FB3D8C">
            <w:pPr>
              <w:pStyle w:val="TableParagraph"/>
              <w:spacing w:before="176" w:line="182" w:lineRule="exact"/>
              <w:ind w:left="316" w:right="134" w:hanging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IMPAC </w:t>
            </w:r>
            <w:r>
              <w:rPr>
                <w:rFonts w:ascii="Arial"/>
                <w:b/>
                <w:spacing w:val="-6"/>
                <w:sz w:val="16"/>
              </w:rPr>
              <w:t>TO</w:t>
            </w: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00AE50"/>
          </w:tcPr>
          <w:p w:rsidR="00740BD7" w:rsidRDefault="00FB3D8C">
            <w:pPr>
              <w:pStyle w:val="TableParagraph"/>
              <w:spacing w:before="176" w:line="182" w:lineRule="exact"/>
              <w:ind w:left="460" w:right="42" w:hanging="3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PROBABILID </w:t>
            </w:r>
            <w:r>
              <w:rPr>
                <w:rFonts w:ascii="Arial"/>
                <w:b/>
                <w:spacing w:val="-6"/>
                <w:sz w:val="16"/>
              </w:rPr>
              <w:t>AD</w:t>
            </w:r>
          </w:p>
        </w:tc>
        <w:tc>
          <w:tcPr>
            <w:tcW w:w="1004" w:type="dxa"/>
            <w:shd w:val="clear" w:color="auto" w:fill="00AE50"/>
          </w:tcPr>
          <w:p w:rsidR="00740BD7" w:rsidRDefault="00FB3D8C">
            <w:pPr>
              <w:pStyle w:val="TableParagraph"/>
              <w:spacing w:before="176" w:line="182" w:lineRule="exact"/>
              <w:ind w:left="444" w:right="163" w:hanging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IMPACT </w:t>
            </w:r>
            <w:r>
              <w:rPr>
                <w:rFonts w:ascii="Arial"/>
                <w:b/>
                <w:spacing w:val="-10"/>
                <w:sz w:val="16"/>
              </w:rPr>
              <w:t>O</w:t>
            </w: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shd w:val="clear" w:color="auto" w:fill="00AE50"/>
          </w:tcPr>
          <w:p w:rsidR="00740BD7" w:rsidRDefault="00740BD7">
            <w:pPr>
              <w:rPr>
                <w:sz w:val="2"/>
                <w:szCs w:val="2"/>
              </w:rPr>
            </w:pPr>
          </w:p>
        </w:tc>
      </w:tr>
      <w:tr w:rsidR="00740BD7">
        <w:trPr>
          <w:trHeight w:val="372"/>
        </w:trPr>
        <w:tc>
          <w:tcPr>
            <w:tcW w:w="1985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740BD7" w:rsidRDefault="00740BD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 w:line="164" w:lineRule="exact"/>
              <w:ind w:left="189"/>
              <w:rPr>
                <w:sz w:val="16"/>
              </w:rPr>
            </w:pPr>
            <w:r>
              <w:rPr>
                <w:spacing w:val="-2"/>
                <w:sz w:val="16"/>
              </w:rPr>
              <w:t>Posibilidad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133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E16C09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E16C09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740BD7" w:rsidRDefault="00740BD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167" w:lineRule="exact"/>
              <w:ind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Director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</w:t>
            </w:r>
          </w:p>
        </w:tc>
        <w:tc>
          <w:tcPr>
            <w:tcW w:w="1687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BD7">
        <w:trPr>
          <w:trHeight w:val="1593"/>
        </w:trPr>
        <w:tc>
          <w:tcPr>
            <w:tcW w:w="1985" w:type="dxa"/>
            <w:tcBorders>
              <w:top w:val="nil"/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242" w:lineRule="auto"/>
              <w:ind w:left="151" w:right="181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prescribir </w:t>
            </w:r>
            <w:r>
              <w:rPr>
                <w:sz w:val="16"/>
              </w:rPr>
              <w:t xml:space="preserve">proceso de </w:t>
            </w:r>
            <w:r>
              <w:rPr>
                <w:spacing w:val="-6"/>
                <w:sz w:val="16"/>
              </w:rPr>
              <w:t>responsabilidad</w:t>
            </w:r>
            <w:r>
              <w:rPr>
                <w:sz w:val="16"/>
              </w:rPr>
              <w:t xml:space="preserve"> fiscal por </w:t>
            </w:r>
            <w:r>
              <w:rPr>
                <w:spacing w:val="-2"/>
                <w:sz w:val="16"/>
              </w:rPr>
              <w:t>inactividad procesal.</w:t>
            </w:r>
          </w:p>
        </w:tc>
        <w:tc>
          <w:tcPr>
            <w:tcW w:w="1133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77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1</w:t>
            </w:r>
          </w:p>
        </w:tc>
        <w:tc>
          <w:tcPr>
            <w:tcW w:w="841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77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E16C09"/>
          </w:tcPr>
          <w:p w:rsidR="00740BD7" w:rsidRDefault="00FB3D8C">
            <w:pPr>
              <w:pStyle w:val="TableParagraph"/>
              <w:spacing w:before="176" w:line="264" w:lineRule="auto"/>
              <w:ind w:left="587" w:hanging="423"/>
              <w:rPr>
                <w:sz w:val="16"/>
              </w:rPr>
            </w:pPr>
            <w:r>
              <w:rPr>
                <w:spacing w:val="-2"/>
                <w:sz w:val="16"/>
              </w:rPr>
              <w:t>Zona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Riesgo </w:t>
            </w:r>
            <w:r>
              <w:rPr>
                <w:spacing w:val="-4"/>
                <w:sz w:val="16"/>
              </w:rPr>
              <w:t>Alta</w:t>
            </w:r>
          </w:p>
        </w:tc>
        <w:tc>
          <w:tcPr>
            <w:tcW w:w="1265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244" w:lineRule="auto"/>
              <w:ind w:left="174" w:right="204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Mecanismo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medición de la </w:t>
            </w:r>
            <w:r>
              <w:rPr>
                <w:spacing w:val="-2"/>
                <w:sz w:val="16"/>
              </w:rPr>
              <w:t>inactividad procesal.</w:t>
            </w:r>
          </w:p>
        </w:tc>
        <w:tc>
          <w:tcPr>
            <w:tcW w:w="1136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77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77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6C09"/>
          </w:tcPr>
          <w:p w:rsidR="00740BD7" w:rsidRDefault="00740BD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276" w:lineRule="auto"/>
              <w:ind w:left="575" w:hanging="368"/>
              <w:rPr>
                <w:sz w:val="16"/>
              </w:rPr>
            </w:pPr>
            <w:r>
              <w:rPr>
                <w:spacing w:val="-2"/>
                <w:sz w:val="16"/>
              </w:rPr>
              <w:t>Zona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Riesgo </w:t>
            </w:r>
            <w:r>
              <w:rPr>
                <w:spacing w:val="-4"/>
                <w:sz w:val="16"/>
              </w:rPr>
              <w:t>Alta</w:t>
            </w:r>
          </w:p>
        </w:tc>
        <w:tc>
          <w:tcPr>
            <w:tcW w:w="1134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242" w:lineRule="auto"/>
              <w:ind w:left="181" w:right="145" w:hanging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Reducir, Evitar, Compartir </w:t>
            </w:r>
            <w:r>
              <w:rPr>
                <w:spacing w:val="-2"/>
                <w:sz w:val="16"/>
              </w:rPr>
              <w:t xml:space="preserve">o </w:t>
            </w:r>
            <w:r>
              <w:rPr>
                <w:spacing w:val="-4"/>
                <w:sz w:val="16"/>
              </w:rPr>
              <w:t xml:space="preserve">Transferir </w:t>
            </w:r>
            <w:r>
              <w:rPr>
                <w:spacing w:val="-4"/>
                <w:sz w:val="16"/>
              </w:rPr>
              <w:t xml:space="preserve">el </w:t>
            </w:r>
            <w:r>
              <w:rPr>
                <w:spacing w:val="-2"/>
                <w:sz w:val="16"/>
              </w:rPr>
              <w:t>Riesgo</w:t>
            </w:r>
          </w:p>
        </w:tc>
        <w:tc>
          <w:tcPr>
            <w:tcW w:w="1563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285" w:lineRule="auto"/>
              <w:ind w:left="209" w:right="297" w:hanging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Seguimiento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al </w:t>
            </w:r>
            <w:r>
              <w:rPr>
                <w:sz w:val="16"/>
              </w:rPr>
              <w:t>control de medición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actividad</w:t>
            </w:r>
          </w:p>
        </w:tc>
        <w:tc>
          <w:tcPr>
            <w:tcW w:w="1563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before="34" w:line="285" w:lineRule="auto"/>
              <w:ind w:left="170" w:right="199" w:hanging="5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Responsabilidad </w:t>
            </w:r>
            <w:r>
              <w:rPr>
                <w:sz w:val="16"/>
              </w:rPr>
              <w:t>Fiscal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Jurisdicción Coactiva.</w:t>
            </w:r>
          </w:p>
        </w:tc>
        <w:tc>
          <w:tcPr>
            <w:tcW w:w="1687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242" w:lineRule="auto"/>
              <w:ind w:left="204" w:right="186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No. De declaratorias de </w:t>
            </w:r>
            <w:r>
              <w:rPr>
                <w:spacing w:val="-4"/>
                <w:sz w:val="16"/>
              </w:rPr>
              <w:t xml:space="preserve">prescripción/No. </w:t>
            </w:r>
            <w:r>
              <w:rPr>
                <w:spacing w:val="-4"/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procesos tramitados</w:t>
            </w:r>
          </w:p>
        </w:tc>
        <w:tc>
          <w:tcPr>
            <w:tcW w:w="1149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77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</w:tr>
      <w:tr w:rsidR="00740BD7">
        <w:trPr>
          <w:trHeight w:val="1782"/>
        </w:trPr>
        <w:tc>
          <w:tcPr>
            <w:tcW w:w="1985" w:type="dxa"/>
            <w:tcBorders>
              <w:top w:val="nil"/>
              <w:bottom w:val="nil"/>
            </w:tcBorders>
          </w:tcPr>
          <w:p w:rsidR="00740BD7" w:rsidRDefault="00740BD7">
            <w:pPr>
              <w:pStyle w:val="TableParagraph"/>
              <w:spacing w:before="39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 w:line="244" w:lineRule="auto"/>
              <w:ind w:left="64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85"/>
                <w:sz w:val="16"/>
              </w:rPr>
              <w:t>10</w:t>
            </w:r>
            <w:r>
              <w:rPr>
                <w:rFonts w:asci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RESPONSABILIDAD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FISCAL Y </w:t>
            </w:r>
            <w:r>
              <w:rPr>
                <w:rFonts w:ascii="Arial"/>
                <w:b/>
                <w:spacing w:val="-2"/>
                <w:sz w:val="16"/>
              </w:rPr>
              <w:t>JURISDICCION COACTIVA</w:t>
            </w:r>
          </w:p>
        </w:tc>
        <w:tc>
          <w:tcPr>
            <w:tcW w:w="1421" w:type="dxa"/>
            <w:tcBorders>
              <w:bottom w:val="nil"/>
            </w:tcBorders>
          </w:tcPr>
          <w:p w:rsidR="00740BD7" w:rsidRDefault="00740BD7">
            <w:pPr>
              <w:pStyle w:val="TableParagraph"/>
              <w:spacing w:before="174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242" w:lineRule="auto"/>
              <w:ind w:left="155" w:right="102" w:firstLine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Inobservancia </w:t>
            </w:r>
            <w:r>
              <w:rPr>
                <w:sz w:val="16"/>
              </w:rPr>
              <w:t>de las normas procesales que contribuyen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 la violación al debido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proceso.</w:t>
            </w:r>
          </w:p>
        </w:tc>
        <w:tc>
          <w:tcPr>
            <w:tcW w:w="1133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71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3</w:t>
            </w:r>
          </w:p>
        </w:tc>
        <w:tc>
          <w:tcPr>
            <w:tcW w:w="841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71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0000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left="349" w:hanging="243"/>
              <w:rPr>
                <w:sz w:val="16"/>
              </w:rPr>
            </w:pPr>
            <w:r>
              <w:rPr>
                <w:spacing w:val="-6"/>
                <w:sz w:val="16"/>
              </w:rPr>
              <w:t>Zona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Riesgo</w:t>
            </w:r>
            <w:r>
              <w:rPr>
                <w:spacing w:val="-2"/>
                <w:sz w:val="16"/>
              </w:rPr>
              <w:t xml:space="preserve"> Extrema</w:t>
            </w:r>
          </w:p>
        </w:tc>
        <w:tc>
          <w:tcPr>
            <w:tcW w:w="1265" w:type="dxa"/>
            <w:tcBorders>
              <w:bottom w:val="nil"/>
            </w:tcBorders>
          </w:tcPr>
          <w:p w:rsidR="00740BD7" w:rsidRDefault="00FB3D8C">
            <w:pPr>
              <w:pStyle w:val="TableParagraph"/>
              <w:spacing w:before="96" w:line="244" w:lineRule="auto"/>
              <w:ind w:left="198" w:right="16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Formato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P-H-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V-A</w:t>
            </w:r>
          </w:p>
          <w:p w:rsidR="00740BD7" w:rsidRDefault="00FB3D8C">
            <w:pPr>
              <w:pStyle w:val="TableParagraph"/>
              <w:spacing w:before="2" w:line="244" w:lineRule="auto"/>
              <w:ind w:left="152" w:right="120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Cumplimiento </w:t>
            </w:r>
            <w:r>
              <w:rPr>
                <w:sz w:val="16"/>
              </w:rPr>
              <w:t xml:space="preserve">al manual de </w:t>
            </w:r>
            <w:r>
              <w:rPr>
                <w:spacing w:val="-2"/>
                <w:sz w:val="16"/>
              </w:rPr>
              <w:t>procedimient</w:t>
            </w:r>
            <w:r>
              <w:rPr>
                <w:sz w:val="16"/>
              </w:rPr>
              <w:t xml:space="preserve">os de </w:t>
            </w:r>
            <w:r>
              <w:rPr>
                <w:spacing w:val="-8"/>
                <w:w w:val="90"/>
                <w:sz w:val="16"/>
              </w:rPr>
              <w:t>Responsabilidad</w:t>
            </w:r>
            <w:r>
              <w:rPr>
                <w:sz w:val="16"/>
              </w:rPr>
              <w:t xml:space="preserve"> Fiscal y</w:t>
            </w:r>
          </w:p>
          <w:p w:rsidR="00740BD7" w:rsidRDefault="00FB3D8C">
            <w:pPr>
              <w:pStyle w:val="TableParagraph"/>
              <w:spacing w:line="163" w:lineRule="exact"/>
              <w:ind w:left="198" w:right="1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Jurisdicción</w:t>
            </w:r>
          </w:p>
        </w:tc>
        <w:tc>
          <w:tcPr>
            <w:tcW w:w="1136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71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2</w:t>
            </w:r>
          </w:p>
        </w:tc>
        <w:tc>
          <w:tcPr>
            <w:tcW w:w="1004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71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E16C09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271" w:lineRule="auto"/>
              <w:ind w:left="573" w:hanging="420"/>
              <w:rPr>
                <w:sz w:val="16"/>
              </w:rPr>
            </w:pPr>
            <w:r>
              <w:rPr>
                <w:spacing w:val="-2"/>
                <w:sz w:val="16"/>
              </w:rPr>
              <w:t>Zona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Riesgo </w:t>
            </w:r>
            <w:r>
              <w:rPr>
                <w:spacing w:val="-4"/>
                <w:sz w:val="16"/>
              </w:rPr>
              <w:t>Alta</w:t>
            </w:r>
          </w:p>
        </w:tc>
        <w:tc>
          <w:tcPr>
            <w:tcW w:w="1134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39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242" w:lineRule="auto"/>
              <w:ind w:left="114" w:right="264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Reducir, Evitar, Compartir </w:t>
            </w:r>
            <w:r>
              <w:rPr>
                <w:sz w:val="16"/>
              </w:rPr>
              <w:t xml:space="preserve">r o </w:t>
            </w:r>
            <w:r>
              <w:rPr>
                <w:spacing w:val="-2"/>
                <w:w w:val="90"/>
                <w:sz w:val="16"/>
              </w:rPr>
              <w:t xml:space="preserve">Transferir </w:t>
            </w:r>
            <w:r>
              <w:rPr>
                <w:spacing w:val="-2"/>
                <w:w w:val="90"/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Riesgo</w:t>
            </w:r>
          </w:p>
        </w:tc>
        <w:tc>
          <w:tcPr>
            <w:tcW w:w="1563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34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244" w:lineRule="auto"/>
              <w:ind w:left="145" w:right="127"/>
              <w:jc w:val="center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la normatividad y </w:t>
            </w:r>
            <w:r>
              <w:rPr>
                <w:spacing w:val="-2"/>
                <w:sz w:val="16"/>
              </w:rPr>
              <w:t xml:space="preserve">procedimientos vigentes </w:t>
            </w:r>
            <w:r>
              <w:rPr>
                <w:sz w:val="16"/>
              </w:rPr>
              <w:t>aplicables para cada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caso.</w:t>
            </w:r>
          </w:p>
        </w:tc>
        <w:tc>
          <w:tcPr>
            <w:tcW w:w="1563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285" w:lineRule="auto"/>
              <w:ind w:left="170" w:right="199" w:hanging="4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Técnico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Responsabilidad </w:t>
            </w:r>
            <w:r>
              <w:rPr>
                <w:sz w:val="16"/>
              </w:rPr>
              <w:t>Fiscal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Jurisdicción Coactiva.</w:t>
            </w:r>
          </w:p>
        </w:tc>
        <w:tc>
          <w:tcPr>
            <w:tcW w:w="1687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line="242" w:lineRule="auto"/>
              <w:ind w:left="195" w:right="15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solicitudes </w:t>
            </w:r>
            <w:r>
              <w:rPr>
                <w:sz w:val="16"/>
              </w:rPr>
              <w:t>de nulidad por violación del debido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proceso.</w:t>
            </w:r>
          </w:p>
        </w:tc>
        <w:tc>
          <w:tcPr>
            <w:tcW w:w="1149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  <w:p w:rsidR="00740BD7" w:rsidRDefault="00740BD7">
            <w:pPr>
              <w:pStyle w:val="TableParagraph"/>
              <w:spacing w:before="179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</w:tr>
      <w:tr w:rsidR="00740BD7">
        <w:trPr>
          <w:trHeight w:val="602"/>
        </w:trPr>
        <w:tc>
          <w:tcPr>
            <w:tcW w:w="1985" w:type="dxa"/>
            <w:tcBorders>
              <w:top w:val="nil"/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  <w:shd w:val="clear" w:color="auto" w:fill="FF0000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183" w:lineRule="exact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Coactivo.</w:t>
            </w:r>
          </w:p>
        </w:tc>
        <w:tc>
          <w:tcPr>
            <w:tcW w:w="1136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6C09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BD7">
        <w:trPr>
          <w:trHeight w:val="372"/>
        </w:trPr>
        <w:tc>
          <w:tcPr>
            <w:tcW w:w="1985" w:type="dxa"/>
            <w:tcBorders>
              <w:top w:val="nil"/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FF0000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FF0000"/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740BD7" w:rsidRDefault="00FB3D8C">
            <w:pPr>
              <w:pStyle w:val="TableParagraph"/>
              <w:spacing w:before="180" w:line="172" w:lineRule="exact"/>
              <w:ind w:left="485"/>
              <w:rPr>
                <w:sz w:val="16"/>
              </w:rPr>
            </w:pPr>
            <w:r>
              <w:rPr>
                <w:spacing w:val="-2"/>
                <w:sz w:val="16"/>
              </w:rPr>
              <w:t>Realizar</w:t>
            </w:r>
          </w:p>
        </w:tc>
        <w:tc>
          <w:tcPr>
            <w:tcW w:w="1563" w:type="dxa"/>
            <w:tcBorders>
              <w:bottom w:val="nil"/>
            </w:tcBorders>
          </w:tcPr>
          <w:p w:rsidR="00740BD7" w:rsidRDefault="00740BD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 w:line="164" w:lineRule="exact"/>
              <w:ind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Director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</w:t>
            </w:r>
          </w:p>
        </w:tc>
        <w:tc>
          <w:tcPr>
            <w:tcW w:w="1687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BD7">
        <w:trPr>
          <w:trHeight w:val="1439"/>
        </w:trPr>
        <w:tc>
          <w:tcPr>
            <w:tcW w:w="1985" w:type="dxa"/>
            <w:tcBorders>
              <w:top w:val="nil"/>
            </w:tcBorders>
          </w:tcPr>
          <w:p w:rsidR="00740BD7" w:rsidRDefault="00740B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before="183" w:line="244" w:lineRule="auto"/>
              <w:ind w:left="227" w:right="65" w:hanging="27"/>
              <w:rPr>
                <w:sz w:val="16"/>
              </w:rPr>
            </w:pPr>
            <w:r>
              <w:rPr>
                <w:spacing w:val="-4"/>
                <w:sz w:val="16"/>
              </w:rPr>
              <w:t>Insolvencia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de los </w:t>
            </w:r>
            <w:r>
              <w:rPr>
                <w:spacing w:val="-5"/>
                <w:sz w:val="16"/>
              </w:rPr>
              <w:t>vinculados</w:t>
            </w:r>
          </w:p>
        </w:tc>
        <w:tc>
          <w:tcPr>
            <w:tcW w:w="1133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06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841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06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0000"/>
          </w:tcPr>
          <w:p w:rsidR="00740BD7" w:rsidRDefault="00FB3D8C">
            <w:pPr>
              <w:pStyle w:val="TableParagraph"/>
              <w:spacing w:before="178" w:line="266" w:lineRule="auto"/>
              <w:ind w:left="491" w:hanging="243"/>
              <w:rPr>
                <w:sz w:val="16"/>
              </w:rPr>
            </w:pPr>
            <w:r>
              <w:rPr>
                <w:spacing w:val="-6"/>
                <w:sz w:val="16"/>
              </w:rPr>
              <w:t>Zona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Riesgo</w:t>
            </w:r>
            <w:r>
              <w:rPr>
                <w:spacing w:val="-2"/>
                <w:sz w:val="16"/>
              </w:rPr>
              <w:t xml:space="preserve"> Extrema</w:t>
            </w:r>
          </w:p>
        </w:tc>
        <w:tc>
          <w:tcPr>
            <w:tcW w:w="1265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before="142" w:line="242" w:lineRule="auto"/>
              <w:ind w:left="255" w:right="213" w:firstLine="2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Búsqueda </w:t>
            </w:r>
            <w:r>
              <w:rPr>
                <w:sz w:val="16"/>
              </w:rPr>
              <w:t>efectiva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1136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06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3</w:t>
            </w:r>
          </w:p>
        </w:tc>
        <w:tc>
          <w:tcPr>
            <w:tcW w:w="1004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06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F0000"/>
          </w:tcPr>
          <w:p w:rsidR="00740BD7" w:rsidRDefault="00FB3D8C">
            <w:pPr>
              <w:pStyle w:val="TableParagraph"/>
              <w:spacing w:line="276" w:lineRule="auto"/>
              <w:ind w:left="403" w:right="426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Zona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Riesgo </w:t>
            </w:r>
            <w:r>
              <w:rPr>
                <w:spacing w:val="-6"/>
                <w:sz w:val="16"/>
              </w:rPr>
              <w:t>Extrema</w:t>
            </w:r>
          </w:p>
        </w:tc>
        <w:tc>
          <w:tcPr>
            <w:tcW w:w="1134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242" w:lineRule="auto"/>
              <w:ind w:left="181" w:right="145" w:hanging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Evitar, Compartir </w:t>
            </w:r>
            <w:r>
              <w:rPr>
                <w:spacing w:val="-2"/>
                <w:sz w:val="16"/>
              </w:rPr>
              <w:t xml:space="preserve">o </w:t>
            </w:r>
            <w:r>
              <w:rPr>
                <w:spacing w:val="-4"/>
                <w:sz w:val="16"/>
              </w:rPr>
              <w:t xml:space="preserve">Transferir </w:t>
            </w:r>
            <w:bookmarkStart w:id="0" w:name="_GoBack"/>
            <w:bookmarkEnd w:id="0"/>
            <w:r>
              <w:rPr>
                <w:spacing w:val="-4"/>
                <w:sz w:val="16"/>
              </w:rPr>
              <w:t xml:space="preserve">el </w:t>
            </w:r>
            <w:r>
              <w:rPr>
                <w:spacing w:val="-2"/>
                <w:sz w:val="16"/>
              </w:rPr>
              <w:t>Riesgo</w:t>
            </w:r>
          </w:p>
        </w:tc>
        <w:tc>
          <w:tcPr>
            <w:tcW w:w="1563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line="244" w:lineRule="auto"/>
              <w:ind w:left="303" w:right="2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solicitudes </w:t>
            </w:r>
            <w:r>
              <w:rPr>
                <w:sz w:val="16"/>
              </w:rPr>
              <w:t>periódicas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 revisión de existencia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 bienes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los </w:t>
            </w:r>
            <w:r>
              <w:rPr>
                <w:spacing w:val="-2"/>
                <w:sz w:val="16"/>
              </w:rPr>
              <w:t>vinculados.</w:t>
            </w:r>
          </w:p>
        </w:tc>
        <w:tc>
          <w:tcPr>
            <w:tcW w:w="1563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before="34" w:line="285" w:lineRule="auto"/>
              <w:ind w:left="170" w:right="199" w:hanging="5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Responsabilidad </w:t>
            </w:r>
            <w:r>
              <w:rPr>
                <w:sz w:val="16"/>
              </w:rPr>
              <w:t>Fiscal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Jurisdicción Coactiva.</w:t>
            </w:r>
          </w:p>
        </w:tc>
        <w:tc>
          <w:tcPr>
            <w:tcW w:w="1687" w:type="dxa"/>
            <w:tcBorders>
              <w:top w:val="nil"/>
            </w:tcBorders>
          </w:tcPr>
          <w:p w:rsidR="00740BD7" w:rsidRDefault="00FB3D8C">
            <w:pPr>
              <w:pStyle w:val="TableParagraph"/>
              <w:spacing w:before="3" w:line="242" w:lineRule="auto"/>
              <w:ind w:left="195" w:right="15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solicitudes </w:t>
            </w:r>
            <w:r>
              <w:rPr>
                <w:sz w:val="16"/>
              </w:rPr>
              <w:t xml:space="preserve">efectivas de embargos de bienes/No. de </w:t>
            </w:r>
            <w:r>
              <w:rPr>
                <w:spacing w:val="-2"/>
                <w:sz w:val="16"/>
              </w:rPr>
              <w:t>procesos</w:t>
            </w:r>
          </w:p>
        </w:tc>
        <w:tc>
          <w:tcPr>
            <w:tcW w:w="1149" w:type="dxa"/>
            <w:tcBorders>
              <w:top w:val="nil"/>
            </w:tcBorders>
          </w:tcPr>
          <w:p w:rsidR="00740BD7" w:rsidRDefault="00740BD7">
            <w:pPr>
              <w:pStyle w:val="TableParagraph"/>
              <w:spacing w:before="176"/>
              <w:rPr>
                <w:rFonts w:ascii="Times New Roman"/>
                <w:sz w:val="16"/>
              </w:rPr>
            </w:pPr>
          </w:p>
          <w:p w:rsidR="00740BD7" w:rsidRDefault="00FB3D8C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</w:tr>
    </w:tbl>
    <w:p w:rsidR="00740BD7" w:rsidRDefault="00740BD7">
      <w:pPr>
        <w:pStyle w:val="Textoindependiente"/>
        <w:rPr>
          <w:rFonts w:ascii="Times New Roman"/>
          <w:b w:val="0"/>
          <w:sz w:val="20"/>
        </w:rPr>
      </w:pPr>
    </w:p>
    <w:p w:rsidR="00740BD7" w:rsidRDefault="00740BD7">
      <w:pPr>
        <w:pStyle w:val="Textoindependiente"/>
        <w:rPr>
          <w:rFonts w:ascii="Times New Roman"/>
          <w:b w:val="0"/>
          <w:sz w:val="20"/>
        </w:rPr>
      </w:pPr>
    </w:p>
    <w:p w:rsidR="00740BD7" w:rsidRDefault="00740BD7">
      <w:pPr>
        <w:pStyle w:val="Textoindependiente"/>
        <w:rPr>
          <w:rFonts w:ascii="Times New Roman"/>
          <w:b w:val="0"/>
          <w:sz w:val="20"/>
        </w:rPr>
      </w:pPr>
    </w:p>
    <w:p w:rsidR="00740BD7" w:rsidRDefault="00740BD7">
      <w:pPr>
        <w:pStyle w:val="Textoindependiente"/>
        <w:rPr>
          <w:rFonts w:ascii="Times New Roman"/>
          <w:b w:val="0"/>
          <w:sz w:val="20"/>
        </w:rPr>
      </w:pPr>
    </w:p>
    <w:p w:rsidR="00740BD7" w:rsidRDefault="00740BD7">
      <w:pPr>
        <w:pStyle w:val="Textoindependiente"/>
        <w:spacing w:before="14"/>
        <w:rPr>
          <w:rFonts w:ascii="Times New Roman"/>
          <w:b w:val="0"/>
          <w:sz w:val="20"/>
        </w:rPr>
      </w:pPr>
    </w:p>
    <w:p w:rsidR="00740BD7" w:rsidRDefault="00740BD7">
      <w:pPr>
        <w:rPr>
          <w:rFonts w:ascii="Times New Roman"/>
          <w:sz w:val="20"/>
        </w:rPr>
        <w:sectPr w:rsidR="00740BD7">
          <w:type w:val="continuous"/>
          <w:pgSz w:w="20160" w:h="12240" w:orient="landscape"/>
          <w:pgMar w:top="1380" w:right="240" w:bottom="280" w:left="560" w:header="720" w:footer="720" w:gutter="0"/>
          <w:cols w:space="720"/>
        </w:sectPr>
      </w:pPr>
    </w:p>
    <w:p w:rsidR="00740BD7" w:rsidRDefault="00FB3D8C">
      <w:pPr>
        <w:pStyle w:val="Textoindependiente"/>
        <w:spacing w:before="101"/>
        <w:ind w:left="6405"/>
      </w:pPr>
      <w:r>
        <w:lastRenderedPageBreak/>
        <w:t>Control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-2"/>
        </w:rPr>
        <w:t xml:space="preserve"> Ambiente</w:t>
      </w:r>
    </w:p>
    <w:p w:rsidR="00740BD7" w:rsidRDefault="00FB3D8C">
      <w:pPr>
        <w:spacing w:before="165"/>
        <w:rPr>
          <w:rFonts w:ascii="Georgia"/>
          <w:b/>
          <w:sz w:val="16"/>
        </w:rPr>
      </w:pPr>
      <w:r>
        <w:br w:type="column"/>
      </w:r>
    </w:p>
    <w:p w:rsidR="00740BD7" w:rsidRDefault="00FB3D8C">
      <w:pPr>
        <w:ind w:right="116"/>
        <w:jc w:val="right"/>
        <w:rPr>
          <w:sz w:val="16"/>
        </w:rPr>
      </w:pPr>
      <w:r>
        <w:rPr>
          <w:spacing w:val="-2"/>
          <w:sz w:val="16"/>
        </w:rPr>
        <w:t>DE-F-19/V6/24-10-</w:t>
      </w:r>
      <w:r>
        <w:rPr>
          <w:spacing w:val="-4"/>
          <w:sz w:val="16"/>
        </w:rPr>
        <w:t>2022</w:t>
      </w:r>
    </w:p>
    <w:sectPr w:rsidR="00740BD7">
      <w:type w:val="continuous"/>
      <w:pgSz w:w="20160" w:h="12240" w:orient="landscape"/>
      <w:pgMar w:top="1380" w:right="240" w:bottom="280" w:left="560" w:header="720" w:footer="720" w:gutter="0"/>
      <w:cols w:num="2" w:space="720" w:equalWidth="0">
        <w:col w:w="12835" w:space="40"/>
        <w:col w:w="6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0BD7"/>
    <w:rsid w:val="00740BD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93B4"/>
  <w15:docId w15:val="{4038C985-80DB-4A72-AE73-1089C34F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Dixguel03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2</cp:revision>
  <dcterms:created xsi:type="dcterms:W3CDTF">2024-05-08T16:57:00Z</dcterms:created>
  <dcterms:modified xsi:type="dcterms:W3CDTF">2024-05-08T16:59:00Z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2016</vt:lpwstr>
  </property>
</Properties>
</file>